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Heading1"/>
        <w:spacing w:before="79"/>
        <w:ind w:right="118"/>
        <w:jc w:val="right"/>
      </w:pPr>
      <w:bookmarkStart w:name="26-447.pdf" w:id="1"/>
      <w:bookmarkEnd w:id="1"/>
      <w:r>
        <w:rPr>
          <w:b w:val="0"/>
        </w:rPr>
      </w:r>
      <w:r>
        <w:rPr/>
        <w:t>ADOPTED – SEPTEMBER 22,</w:t>
      </w:r>
      <w:r>
        <w:rPr>
          <w:spacing w:val="-9"/>
        </w:rPr>
        <w:t> </w:t>
      </w:r>
      <w:r>
        <w:rPr/>
        <w:t>2026</w:t>
      </w:r>
    </w:p>
    <w:p>
      <w:pPr>
        <w:spacing w:before="0"/>
        <w:ind w:left="0" w:right="115" w:firstLine="0"/>
        <w:jc w:val="right"/>
        <w:rPr>
          <w:b/>
          <w:sz w:val="24"/>
        </w:rPr>
      </w:pPr>
      <w:r>
        <w:rPr>
          <w:b/>
          <w:sz w:val="24"/>
        </w:rPr>
        <w:t>AGENDA ITEM NO.</w:t>
      </w:r>
      <w:r>
        <w:rPr>
          <w:b/>
          <w:spacing w:val="-4"/>
          <w:sz w:val="24"/>
        </w:rPr>
        <w:t> </w:t>
      </w:r>
      <w:r>
        <w:rPr>
          <w:b/>
          <w:sz w:val="24"/>
        </w:rPr>
        <w:t>30</w:t>
      </w:r>
    </w:p>
    <w:p>
      <w:pPr>
        <w:pStyle w:val="BodyText"/>
        <w:spacing w:before="8"/>
        <w:rPr>
          <w:b/>
          <w:sz w:val="19"/>
        </w:rPr>
      </w:pPr>
    </w:p>
    <w:p>
      <w:pPr>
        <w:pStyle w:val="BodyText"/>
        <w:spacing w:before="90"/>
        <w:ind w:left="120"/>
      </w:pPr>
      <w:r>
        <w:rPr/>
        <w:t>Introduced by the Human Services and Finance Committees of the:</w:t>
      </w:r>
    </w:p>
    <w:p>
      <w:pPr>
        <w:pStyle w:val="BodyText"/>
        <w:spacing w:before="10"/>
        <w:rPr>
          <w:sz w:val="25"/>
        </w:rPr>
      </w:pPr>
    </w:p>
    <w:p>
      <w:pPr>
        <w:pStyle w:val="BodyText"/>
        <w:ind w:left="448" w:right="449"/>
        <w:jc w:val="center"/>
      </w:pPr>
      <w:r>
        <w:rPr/>
        <w:t>INGHAM COUNTY BOARD OF</w:t>
      </w:r>
      <w:r>
        <w:rPr>
          <w:spacing w:val="-18"/>
        </w:rPr>
        <w:t> </w:t>
      </w:r>
      <w:r>
        <w:rPr/>
        <w:t>COMMISSIONERS</w:t>
      </w:r>
    </w:p>
    <w:p>
      <w:pPr>
        <w:pStyle w:val="BodyText"/>
      </w:pPr>
    </w:p>
    <w:p>
      <w:pPr>
        <w:pStyle w:val="Heading1"/>
        <w:ind w:left="451"/>
      </w:pPr>
      <w:r>
        <w:rPr/>
        <w:t>RESOLUTION TO AUTHORIZE THE FOURTEENTH AMENDMENT TO THE</w:t>
      </w:r>
      <w:r>
        <w:rPr>
          <w:spacing w:val="-28"/>
        </w:rPr>
        <w:t> </w:t>
      </w:r>
      <w:r>
        <w:rPr/>
        <w:t>AGREEMENT WITH THE CAPITAL AREA TRANSPORTATION AUTHORITY DATED JANUARY 1, 2016 THROUGH SEPTEMBER 30, 2026, TO EXTEND THE TERM OF THE AGREEMENT AND APPROVE THE ANNUAL SCOPE OF</w:t>
      </w:r>
      <w:r>
        <w:rPr>
          <w:spacing w:val="-5"/>
        </w:rPr>
        <w:t> </w:t>
      </w:r>
      <w:r>
        <w:rPr/>
        <w:t>SERVICES</w:t>
      </w:r>
    </w:p>
    <w:p>
      <w:pPr>
        <w:pStyle w:val="BodyText"/>
        <w:rPr>
          <w:b/>
        </w:rPr>
      </w:pPr>
    </w:p>
    <w:p>
      <w:pPr>
        <w:spacing w:before="1"/>
        <w:ind w:left="449" w:right="449" w:firstLine="0"/>
        <w:jc w:val="center"/>
        <w:rPr>
          <w:b/>
          <w:sz w:val="24"/>
        </w:rPr>
      </w:pPr>
      <w:r>
        <w:rPr>
          <w:b/>
          <w:sz w:val="24"/>
        </w:rPr>
        <w:t>RESOLUTION #26 – 447</w:t>
      </w:r>
    </w:p>
    <w:p>
      <w:pPr>
        <w:pStyle w:val="BodyText"/>
        <w:rPr>
          <w:b/>
          <w:sz w:val="26"/>
        </w:rPr>
      </w:pPr>
    </w:p>
    <w:p>
      <w:pPr>
        <w:pStyle w:val="BodyText"/>
        <w:spacing w:before="11"/>
        <w:rPr>
          <w:b/>
          <w:sz w:val="21"/>
        </w:rPr>
      </w:pPr>
    </w:p>
    <w:p>
      <w:pPr>
        <w:pStyle w:val="BodyText"/>
        <w:ind w:left="120" w:right="776"/>
      </w:pPr>
      <w:r>
        <w:rPr/>
        <w:t>WHEREAS, an extended main agreement was authorized with the Capital Area Transportation Authority (CATA) for the period ending September 30, 2026; and</w:t>
      </w:r>
    </w:p>
    <w:p>
      <w:pPr>
        <w:pStyle w:val="BodyText"/>
      </w:pPr>
    </w:p>
    <w:p>
      <w:pPr>
        <w:pStyle w:val="BodyText"/>
        <w:ind w:left="120" w:right="438"/>
        <w:jc w:val="both"/>
      </w:pPr>
      <w:r>
        <w:rPr/>
        <w:t>WHEREAS, in August 2026, the electorate approved a renewal and reauthorization of the countywide public transportation millage level of 60/100 (.60) of one mill to be used for the purpose of funding a transportation system to be used primarily by elderly and disabled persons in Ingham County; and</w:t>
      </w:r>
    </w:p>
    <w:p>
      <w:pPr>
        <w:pStyle w:val="BodyText"/>
      </w:pPr>
    </w:p>
    <w:p>
      <w:pPr>
        <w:pStyle w:val="BodyText"/>
        <w:ind w:left="119" w:right="217"/>
      </w:pPr>
      <w:r>
        <w:rPr/>
        <w:t>WHEREAS, it is now necessary to extend the term of the main agreement through September 30, 2033, which corresponds with the expiration of funding provided through the millage reauthorization, as approved by voters of Ingham County in August 2026 and outlines the scope of public transportation to be provided by CATA on behalf of the County; and</w:t>
      </w:r>
    </w:p>
    <w:p>
      <w:pPr>
        <w:pStyle w:val="BodyText"/>
        <w:spacing w:before="9"/>
        <w:rPr>
          <w:sz w:val="23"/>
        </w:rPr>
      </w:pPr>
    </w:p>
    <w:p>
      <w:pPr>
        <w:pStyle w:val="BodyText"/>
        <w:ind w:left="119" w:right="203"/>
      </w:pPr>
      <w:r>
        <w:rPr/>
        <w:t>WHEREAS, the Board of Commissioners envisioned that the revenues generated as a result of the millage levy would be turned over to the Capital Area Transportation Authority and be used to provide the transportation service.</w:t>
      </w:r>
    </w:p>
    <w:p>
      <w:pPr>
        <w:pStyle w:val="BodyText"/>
      </w:pPr>
    </w:p>
    <w:p>
      <w:pPr>
        <w:pStyle w:val="BodyText"/>
        <w:spacing w:before="1"/>
        <w:ind w:left="119" w:right="204"/>
      </w:pPr>
      <w:r>
        <w:rPr/>
        <w:t>THEREFORE BE IT RESOLVED, that the Ingham County Board of Commissioners approves an amendment to the main, base agreement with the Capital Area Transportation Authority (CATA) which extends the term of the agreement from October 1, 2026 through September 30, 2033, which corresponds with the expiration of funding provided through the millage renewal and reauthorization, as approved by voters of Ingham County in August 2026 and outlines the scope of public transportation to be provided by CATA on behalf of the County.</w:t>
      </w:r>
    </w:p>
    <w:p>
      <w:pPr>
        <w:pStyle w:val="BodyText"/>
        <w:spacing w:before="11"/>
        <w:rPr>
          <w:sz w:val="23"/>
        </w:rPr>
      </w:pPr>
    </w:p>
    <w:p>
      <w:pPr>
        <w:pStyle w:val="BodyText"/>
        <w:ind w:left="119" w:right="117"/>
      </w:pPr>
      <w:r>
        <w:rPr/>
        <w:t>BE IT FURTHER RESOLVED, that the Ingham County Board of Commissioners approves this amendment to the agreement with the CATA, which authorizes the County to pay CATA the expenses incurred for providing a public transportation system to be used primarily by elderly and disabled persons in Ingham County from revenue generated as a result of the countywide public transportation millage.</w:t>
      </w:r>
    </w:p>
    <w:p>
      <w:pPr>
        <w:pStyle w:val="BodyText"/>
      </w:pPr>
    </w:p>
    <w:p>
      <w:pPr>
        <w:pStyle w:val="BodyText"/>
        <w:ind w:left="119" w:right="469"/>
      </w:pPr>
      <w:r>
        <w:rPr/>
        <w:t>BE IT FURTHER RESOLVED, that for the period October 1, 2026 through September 30, 2027 the County shall reimburse CATA as set forth in the attached Scope of Services.</w:t>
      </w:r>
    </w:p>
    <w:p>
      <w:pPr>
        <w:pStyle w:val="BodyText"/>
      </w:pPr>
    </w:p>
    <w:p>
      <w:pPr>
        <w:pStyle w:val="BodyText"/>
        <w:ind w:left="119" w:right="449"/>
      </w:pPr>
      <w:r>
        <w:rPr/>
        <w:t>BE IT FURTHER RESOLVED, that the Chairperson of the Board of Commissioners is hereby authorized to sign the appropriate agreements and documents necessary to implement the above, subject to approval as to form by the County Attorney.</w:t>
      </w:r>
    </w:p>
    <w:p>
      <w:pPr>
        <w:spacing w:after="0"/>
        <w:sectPr>
          <w:type w:val="continuous"/>
          <w:pgSz w:w="12240" w:h="15840"/>
          <w:pgMar w:top="1360" w:bottom="280" w:left="600" w:right="600"/>
        </w:sectPr>
      </w:pPr>
    </w:p>
    <w:p>
      <w:pPr>
        <w:spacing w:before="79"/>
        <w:ind w:left="120" w:right="0" w:firstLine="0"/>
        <w:jc w:val="left"/>
        <w:rPr>
          <w:sz w:val="24"/>
        </w:rPr>
      </w:pPr>
      <w:r>
        <w:rPr>
          <w:b/>
          <w:sz w:val="24"/>
        </w:rPr>
        <w:t>HUMAN SERVICES: Yeas: </w:t>
      </w:r>
      <w:r>
        <w:rPr>
          <w:sz w:val="24"/>
        </w:rPr>
        <w:t>Tennis, Morgan, Willis, Ruest, Schafer</w:t>
      </w:r>
    </w:p>
    <w:p>
      <w:pPr>
        <w:tabs>
          <w:tab w:pos="2231" w:val="left" w:leader="none"/>
          <w:tab w:pos="4838" w:val="left" w:leader="none"/>
        </w:tabs>
        <w:spacing w:before="0"/>
        <w:ind w:left="720" w:right="0" w:firstLine="0"/>
        <w:jc w:val="left"/>
        <w:rPr>
          <w:b/>
          <w:sz w:val="24"/>
        </w:rPr>
      </w:pPr>
      <w:r>
        <w:rPr>
          <w:b/>
          <w:sz w:val="24"/>
        </w:rPr>
        <w:t>Nays</w:t>
      </w:r>
      <w:r>
        <w:rPr>
          <w:sz w:val="24"/>
        </w:rPr>
        <w:t>:</w:t>
      </w:r>
      <w:r>
        <w:rPr>
          <w:spacing w:val="59"/>
          <w:sz w:val="24"/>
        </w:rPr>
        <w:t> </w:t>
      </w:r>
      <w:r>
        <w:rPr>
          <w:sz w:val="24"/>
        </w:rPr>
        <w:t>None</w:t>
        <w:tab/>
      </w:r>
      <w:r>
        <w:rPr>
          <w:b/>
          <w:sz w:val="24"/>
        </w:rPr>
        <w:t>Absent:</w:t>
      </w:r>
      <w:r>
        <w:rPr>
          <w:b/>
          <w:spacing w:val="-3"/>
          <w:sz w:val="24"/>
        </w:rPr>
        <w:t> </w:t>
      </w:r>
      <w:r>
        <w:rPr>
          <w:sz w:val="24"/>
        </w:rPr>
        <w:t>Cahill,</w:t>
      </w:r>
      <w:r>
        <w:rPr>
          <w:spacing w:val="-2"/>
          <w:sz w:val="24"/>
        </w:rPr>
        <w:t> </w:t>
      </w:r>
      <w:r>
        <w:rPr>
          <w:sz w:val="24"/>
        </w:rPr>
        <w:t>Trubac</w:t>
        <w:tab/>
      </w:r>
      <w:r>
        <w:rPr>
          <w:b/>
          <w:sz w:val="24"/>
        </w:rPr>
        <w:t>Approved  09/14/26</w:t>
      </w:r>
    </w:p>
    <w:p>
      <w:pPr>
        <w:pStyle w:val="BodyText"/>
        <w:spacing w:before="6"/>
        <w:rPr>
          <w:b/>
          <w:sz w:val="27"/>
        </w:rPr>
      </w:pPr>
    </w:p>
    <w:p>
      <w:pPr>
        <w:spacing w:before="0"/>
        <w:ind w:left="120" w:right="0" w:firstLine="0"/>
        <w:jc w:val="left"/>
        <w:rPr>
          <w:sz w:val="24"/>
        </w:rPr>
      </w:pPr>
      <w:r>
        <w:rPr>
          <w:b/>
          <w:sz w:val="24"/>
        </w:rPr>
        <w:t>FINANCE: Yeas: </w:t>
      </w:r>
      <w:r>
        <w:rPr>
          <w:sz w:val="24"/>
        </w:rPr>
        <w:t>Grebner, Morgan, Tennis, Sebolt, Maiville</w:t>
      </w:r>
    </w:p>
    <w:p>
      <w:pPr>
        <w:tabs>
          <w:tab w:pos="2183" w:val="left" w:leader="none"/>
          <w:tab w:pos="4900" w:val="left" w:leader="none"/>
        </w:tabs>
        <w:spacing w:before="41"/>
        <w:ind w:left="720" w:right="0" w:firstLine="0"/>
        <w:jc w:val="left"/>
        <w:rPr>
          <w:b/>
          <w:sz w:val="24"/>
        </w:rPr>
      </w:pPr>
      <w:r>
        <w:rPr>
          <w:b/>
          <w:sz w:val="24"/>
        </w:rPr>
        <w:t>Nays:</w:t>
      </w:r>
      <w:r>
        <w:rPr>
          <w:b/>
          <w:spacing w:val="58"/>
          <w:sz w:val="24"/>
        </w:rPr>
        <w:t> </w:t>
      </w:r>
      <w:r>
        <w:rPr>
          <w:sz w:val="24"/>
        </w:rPr>
        <w:t>None</w:t>
        <w:tab/>
      </w:r>
      <w:r>
        <w:rPr>
          <w:b/>
          <w:sz w:val="24"/>
        </w:rPr>
        <w:t>Absent:</w:t>
      </w:r>
      <w:r>
        <w:rPr>
          <w:b/>
          <w:spacing w:val="57"/>
          <w:sz w:val="24"/>
        </w:rPr>
        <w:t> </w:t>
      </w:r>
      <w:r>
        <w:rPr>
          <w:sz w:val="24"/>
        </w:rPr>
        <w:t>Polsdofer,</w:t>
      </w:r>
      <w:r>
        <w:rPr>
          <w:spacing w:val="-1"/>
          <w:sz w:val="24"/>
        </w:rPr>
        <w:t> </w:t>
      </w:r>
      <w:r>
        <w:rPr>
          <w:sz w:val="24"/>
        </w:rPr>
        <w:t>Pratt</w:t>
        <w:tab/>
      </w:r>
      <w:r>
        <w:rPr>
          <w:b/>
          <w:sz w:val="24"/>
        </w:rPr>
        <w:t>Approved  09/16/26</w:t>
      </w:r>
    </w:p>
    <w:p>
      <w:pPr>
        <w:spacing w:after="0"/>
        <w:jc w:val="left"/>
        <w:rPr>
          <w:sz w:val="24"/>
        </w:rPr>
        <w:sectPr>
          <w:pgSz w:w="12240" w:h="15840"/>
          <w:pgMar w:top="1360" w:bottom="280" w:left="600" w:right="600"/>
        </w:sectPr>
      </w:pPr>
    </w:p>
    <w:p>
      <w:pPr>
        <w:pStyle w:val="Heading1"/>
        <w:spacing w:before="79"/>
        <w:ind w:left="447"/>
      </w:pPr>
      <w:bookmarkStart w:name="Pages from 9.22.26 Resolutions (002)-22." w:id="2"/>
      <w:bookmarkEnd w:id="2"/>
      <w:r>
        <w:rPr>
          <w:b w:val="0"/>
        </w:rPr>
      </w:r>
      <w:r>
        <w:rPr/>
        <w:t>INGHAM COUNTY SCOPE OF SERVICE</w:t>
      </w:r>
    </w:p>
    <w:p>
      <w:pPr>
        <w:pStyle w:val="BodyText"/>
        <w:rPr>
          <w:b/>
        </w:rPr>
      </w:pPr>
    </w:p>
    <w:p>
      <w:pPr>
        <w:spacing w:before="0"/>
        <w:ind w:left="449" w:right="449" w:firstLine="0"/>
        <w:jc w:val="center"/>
        <w:rPr>
          <w:b/>
          <w:sz w:val="24"/>
        </w:rPr>
      </w:pPr>
      <w:r>
        <w:rPr>
          <w:b/>
          <w:sz w:val="24"/>
        </w:rPr>
        <w:t>For October 1, 2026, through September 30, 2027</w:t>
      </w:r>
    </w:p>
    <w:p>
      <w:pPr>
        <w:pStyle w:val="BodyText"/>
        <w:rPr>
          <w:b/>
        </w:rPr>
      </w:pPr>
    </w:p>
    <w:p>
      <w:pPr>
        <w:pStyle w:val="BodyText"/>
        <w:ind w:left="119" w:right="263"/>
      </w:pPr>
      <w:r>
        <w:rPr/>
        <w:t>For fiscal year 2027, Ingham County projects tax revenue in the amount of $6,125,669 from the Special Transportation Millage. As the County’s contractor, CATA shall carry out the following activities with respect to small bus transportation primarily serving elderly and disabled residents of Ingham County:</w:t>
      </w:r>
    </w:p>
    <w:p>
      <w:pPr>
        <w:pStyle w:val="BodyText"/>
      </w:pPr>
    </w:p>
    <w:p>
      <w:pPr>
        <w:pStyle w:val="ListParagraph"/>
        <w:numPr>
          <w:ilvl w:val="0"/>
          <w:numId w:val="1"/>
        </w:numPr>
        <w:tabs>
          <w:tab w:pos="1559" w:val="left" w:leader="none"/>
          <w:tab w:pos="1560" w:val="left" w:leader="none"/>
        </w:tabs>
        <w:spacing w:line="276" w:lineRule="auto" w:before="0" w:after="0"/>
        <w:ind w:left="1559" w:right="844" w:hanging="1080"/>
        <w:jc w:val="left"/>
        <w:rPr>
          <w:sz w:val="24"/>
        </w:rPr>
      </w:pPr>
      <w:r>
        <w:rPr>
          <w:sz w:val="24"/>
        </w:rPr>
        <w:t>Take all reasonable steps to improve the quality of small bus service primarily serving</w:t>
      </w:r>
      <w:r>
        <w:rPr>
          <w:spacing w:val="-24"/>
          <w:sz w:val="24"/>
        </w:rPr>
        <w:t> </w:t>
      </w:r>
      <w:r>
        <w:rPr>
          <w:sz w:val="24"/>
        </w:rPr>
        <w:t>the elderly and residents with disabilities of Ingham County. CATA shall constantly strive to develop methods to provide such services in more cost-efficient</w:t>
      </w:r>
      <w:r>
        <w:rPr>
          <w:spacing w:val="-4"/>
          <w:sz w:val="24"/>
        </w:rPr>
        <w:t> </w:t>
      </w:r>
      <w:r>
        <w:rPr>
          <w:sz w:val="24"/>
        </w:rPr>
        <w:t>ways.</w:t>
      </w:r>
    </w:p>
    <w:p>
      <w:pPr>
        <w:pStyle w:val="BodyText"/>
        <w:spacing w:before="1"/>
      </w:pPr>
    </w:p>
    <w:p>
      <w:pPr>
        <w:pStyle w:val="ListParagraph"/>
        <w:numPr>
          <w:ilvl w:val="0"/>
          <w:numId w:val="1"/>
        </w:numPr>
        <w:tabs>
          <w:tab w:pos="1559" w:val="left" w:leader="none"/>
          <w:tab w:pos="1560" w:val="left" w:leader="none"/>
        </w:tabs>
        <w:spacing w:line="276" w:lineRule="auto" w:before="0" w:after="0"/>
        <w:ind w:left="1559" w:right="219" w:hanging="1080"/>
        <w:jc w:val="left"/>
        <w:rPr>
          <w:sz w:val="24"/>
        </w:rPr>
      </w:pPr>
      <w:r>
        <w:rPr>
          <w:sz w:val="24"/>
        </w:rPr>
        <w:t>Manage and operate the small bus system commonly known as CATA Rural Services (CRS), providing a minimum of 79 hours per day of service to the residents of Ingham County who reside outside of the boundaries of the urbanized area. CRS also refers to the Mason Connector, Williamston-Webberville Connector and Mason Redi-Ride routes. Service shall be provided in conformity with the requirements of the state and federal grants received for the operation of the service. A maximum of $2,302,266 of funds received under this agreement shall be used to pay for the actual expenses of operating, administering and marketing CATA Rural</w:t>
      </w:r>
      <w:r>
        <w:rPr>
          <w:spacing w:val="-13"/>
          <w:sz w:val="24"/>
        </w:rPr>
        <w:t> </w:t>
      </w:r>
      <w:r>
        <w:rPr>
          <w:sz w:val="24"/>
        </w:rPr>
        <w:t>Services.</w:t>
      </w:r>
    </w:p>
    <w:p>
      <w:pPr>
        <w:pStyle w:val="BodyText"/>
        <w:spacing w:before="9"/>
        <w:rPr>
          <w:sz w:val="23"/>
        </w:rPr>
      </w:pPr>
    </w:p>
    <w:p>
      <w:pPr>
        <w:pStyle w:val="ListParagraph"/>
        <w:numPr>
          <w:ilvl w:val="0"/>
          <w:numId w:val="1"/>
        </w:numPr>
        <w:tabs>
          <w:tab w:pos="1559" w:val="left" w:leader="none"/>
          <w:tab w:pos="1560" w:val="left" w:leader="none"/>
        </w:tabs>
        <w:spacing w:line="276" w:lineRule="auto" w:before="1" w:after="0"/>
        <w:ind w:left="1559" w:right="266" w:hanging="1080"/>
        <w:jc w:val="left"/>
        <w:rPr>
          <w:sz w:val="24"/>
        </w:rPr>
      </w:pPr>
      <w:r>
        <w:rPr>
          <w:sz w:val="24"/>
        </w:rPr>
        <w:t>Continue to operate service for persons with disabilities, known as CATA Spec-Tran, providing at a minimum the level of service in effect on October 1, 1988, to residents of Ingham County who reside within the boundaries of the urbanized area and who further qualify for this specialized service by nature of their mobility-related disabilities. Services shall be provided in conformity with state and federal requirements and grants received for the operation of the service. A maximum of $3,823,403 of the funds received under this Agreement shall be used to pay the actual expenses of operating, administrating and marketing</w:t>
      </w:r>
      <w:r>
        <w:rPr>
          <w:spacing w:val="-15"/>
          <w:sz w:val="24"/>
        </w:rPr>
        <w:t> </w:t>
      </w:r>
      <w:r>
        <w:rPr>
          <w:sz w:val="24"/>
        </w:rPr>
        <w:t>Spec-Tran.</w:t>
      </w:r>
    </w:p>
    <w:sectPr>
      <w:pgSz w:w="12240" w:h="15840"/>
      <w:pgMar w:top="1360" w:bottom="280" w:left="600" w:right="60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1"/>
      <w:numFmt w:val="decimal"/>
      <w:lvlText w:val="%1."/>
      <w:lvlJc w:val="left"/>
      <w:pPr>
        <w:ind w:left="1560" w:hanging="1080"/>
        <w:jc w:val="left"/>
      </w:pPr>
      <w:rPr>
        <w:rFonts w:hint="default" w:ascii="Times New Roman" w:hAnsi="Times New Roman" w:eastAsia="Times New Roman" w:cs="Times New Roman"/>
        <w:spacing w:val="-6"/>
        <w:w w:val="100"/>
        <w:sz w:val="24"/>
        <w:szCs w:val="24"/>
      </w:rPr>
    </w:lvl>
    <w:lvl w:ilvl="1">
      <w:start w:val="0"/>
      <w:numFmt w:val="bullet"/>
      <w:lvlText w:val="•"/>
      <w:lvlJc w:val="left"/>
      <w:pPr>
        <w:ind w:left="2508" w:hanging="1080"/>
      </w:pPr>
      <w:rPr>
        <w:rFonts w:hint="default"/>
      </w:rPr>
    </w:lvl>
    <w:lvl w:ilvl="2">
      <w:start w:val="0"/>
      <w:numFmt w:val="bullet"/>
      <w:lvlText w:val="•"/>
      <w:lvlJc w:val="left"/>
      <w:pPr>
        <w:ind w:left="3456" w:hanging="1080"/>
      </w:pPr>
      <w:rPr>
        <w:rFonts w:hint="default"/>
      </w:rPr>
    </w:lvl>
    <w:lvl w:ilvl="3">
      <w:start w:val="0"/>
      <w:numFmt w:val="bullet"/>
      <w:lvlText w:val="•"/>
      <w:lvlJc w:val="left"/>
      <w:pPr>
        <w:ind w:left="4404" w:hanging="1080"/>
      </w:pPr>
      <w:rPr>
        <w:rFonts w:hint="default"/>
      </w:rPr>
    </w:lvl>
    <w:lvl w:ilvl="4">
      <w:start w:val="0"/>
      <w:numFmt w:val="bullet"/>
      <w:lvlText w:val="•"/>
      <w:lvlJc w:val="left"/>
      <w:pPr>
        <w:ind w:left="5352" w:hanging="1080"/>
      </w:pPr>
      <w:rPr>
        <w:rFonts w:hint="default"/>
      </w:rPr>
    </w:lvl>
    <w:lvl w:ilvl="5">
      <w:start w:val="0"/>
      <w:numFmt w:val="bullet"/>
      <w:lvlText w:val="•"/>
      <w:lvlJc w:val="left"/>
      <w:pPr>
        <w:ind w:left="6300" w:hanging="1080"/>
      </w:pPr>
      <w:rPr>
        <w:rFonts w:hint="default"/>
      </w:rPr>
    </w:lvl>
    <w:lvl w:ilvl="6">
      <w:start w:val="0"/>
      <w:numFmt w:val="bullet"/>
      <w:lvlText w:val="•"/>
      <w:lvlJc w:val="left"/>
      <w:pPr>
        <w:ind w:left="7248" w:hanging="1080"/>
      </w:pPr>
      <w:rPr>
        <w:rFonts w:hint="default"/>
      </w:rPr>
    </w:lvl>
    <w:lvl w:ilvl="7">
      <w:start w:val="0"/>
      <w:numFmt w:val="bullet"/>
      <w:lvlText w:val="•"/>
      <w:lvlJc w:val="left"/>
      <w:pPr>
        <w:ind w:left="8196" w:hanging="1080"/>
      </w:pPr>
      <w:rPr>
        <w:rFonts w:hint="default"/>
      </w:rPr>
    </w:lvl>
    <w:lvl w:ilvl="8">
      <w:start w:val="0"/>
      <w:numFmt w:val="bullet"/>
      <w:lvlText w:val="•"/>
      <w:lvlJc w:val="left"/>
      <w:pPr>
        <w:ind w:left="9144" w:hanging="1080"/>
      </w:pPr>
      <w:rPr>
        <w:rFont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rPr>
  </w:style>
  <w:style w:styleId="BodyText" w:type="paragraph">
    <w:name w:val="Body Text"/>
    <w:basedOn w:val="Normal"/>
    <w:uiPriority w:val="1"/>
    <w:qFormat/>
    <w:pPr/>
    <w:rPr>
      <w:rFonts w:ascii="Times New Roman" w:hAnsi="Times New Roman" w:eastAsia="Times New Roman" w:cs="Times New Roman"/>
      <w:sz w:val="24"/>
      <w:szCs w:val="24"/>
    </w:rPr>
  </w:style>
  <w:style w:styleId="Heading1" w:type="paragraph">
    <w:name w:val="Heading 1"/>
    <w:basedOn w:val="Normal"/>
    <w:uiPriority w:val="1"/>
    <w:qFormat/>
    <w:pPr>
      <w:ind w:right="449"/>
      <w:jc w:val="center"/>
      <w:outlineLvl w:val="1"/>
    </w:pPr>
    <w:rPr>
      <w:rFonts w:ascii="Times New Roman" w:hAnsi="Times New Roman" w:eastAsia="Times New Roman" w:cs="Times New Roman"/>
      <w:b/>
      <w:bCs/>
      <w:sz w:val="24"/>
      <w:szCs w:val="24"/>
    </w:rPr>
  </w:style>
  <w:style w:styleId="ListParagraph" w:type="paragraph">
    <w:name w:val="List Paragraph"/>
    <w:basedOn w:val="Normal"/>
    <w:uiPriority w:val="1"/>
    <w:qFormat/>
    <w:pPr>
      <w:ind w:left="1559" w:right="219" w:hanging="1080"/>
    </w:pPr>
    <w:rPr>
      <w:rFonts w:ascii="Times New Roman" w:hAnsi="Times New Roman" w:eastAsia="Times New Roman" w:cs="Times New Roman"/>
    </w:rPr>
  </w:style>
  <w:style w:styleId="TableParagraph" w:type="paragraph">
    <w:name w:val="Table Paragraph"/>
    <w:basedOn w:val="Normal"/>
    <w:uiPriority w:val="1"/>
    <w:qFormat/>
    <w:pPr/>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Heather Barry</dc:creator>
  <dcterms:created xsi:type="dcterms:W3CDTF">2026-09-23T14:50:23Z</dcterms:created>
  <dcterms:modified xsi:type="dcterms:W3CDTF">2026-09-23T14:50:23Z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2026-09-23T00:00:00Z</vt:filetime>
  </property>
  <property fmtid="{D5CDD505-2E9C-101B-9397-08002B2CF9AE}" pid="3" name="Creator">
    <vt:lpwstr>Acrobat PDFMaker 20 for Word</vt:lpwstr>
  </property>
  <property fmtid="{D5CDD505-2E9C-101B-9397-08002B2CF9AE}" pid="4" name="LastSaved">
    <vt:filetime>2026-09-23T00:00:00Z</vt:filetime>
  </property>
</Properties>
</file>